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E1" w:rsidRDefault="003709E1" w:rsidP="003709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z-Cyrl-UZ"/>
        </w:rPr>
        <w:t>ИНЖЕНЕР-ЛАБОРАНТ</w:t>
      </w:r>
      <w:r>
        <w:rPr>
          <w:rFonts w:ascii="Times New Roman" w:hAnsi="Times New Roman" w:cs="Times New Roman"/>
          <w:b/>
        </w:rPr>
        <w:t xml:space="preserve">» </w:t>
      </w:r>
    </w:p>
    <w:p w:rsidR="003709E1" w:rsidRDefault="003709E1" w:rsidP="003709E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>
        <w:rPr>
          <w:rFonts w:ascii="Times New Roman" w:hAnsi="Times New Roman" w:cs="Times New Roman"/>
          <w:b/>
          <w:u w:val="single"/>
        </w:rPr>
        <w:t>КАСБ СТАНДАРТИ</w:t>
      </w:r>
      <w:proofErr w:type="gramStart"/>
      <w:r>
        <w:rPr>
          <w:rFonts w:ascii="Times New Roman" w:hAnsi="Times New Roman" w:cs="Times New Roman"/>
          <w:b/>
          <w:u w:val="single"/>
          <w:lang w:val="uz-Cyrl-UZ"/>
        </w:rPr>
        <w:t xml:space="preserve"> </w:t>
      </w:r>
      <w:r w:rsidR="00560658">
        <w:rPr>
          <w:rFonts w:ascii="Times New Roman" w:hAnsi="Times New Roman" w:cs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u w:val="single"/>
          <w:lang w:val="uz-Cyrl-UZ"/>
        </w:rPr>
        <w:t>.</w:t>
      </w:r>
      <w:proofErr w:type="gramEnd"/>
    </w:p>
    <w:p w:rsidR="003709E1" w:rsidRDefault="003709E1" w:rsidP="003709E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касбстандарти</w:t>
      </w:r>
      <w:proofErr w:type="spellEnd"/>
      <w:r>
        <w:rPr>
          <w:rFonts w:ascii="Times New Roman" w:hAnsi="Times New Roman" w:cs="Times New Roman"/>
          <w:lang w:val="uz-Cyrl-UZ"/>
        </w:rPr>
        <w:t xml:space="preserve"> номланиши</w:t>
      </w:r>
      <w:r>
        <w:rPr>
          <w:rFonts w:ascii="Times New Roman" w:hAnsi="Times New Roman" w:cs="Times New Roman"/>
        </w:rPr>
        <w:t>)</w:t>
      </w:r>
    </w:p>
    <w:p w:rsidR="003709E1" w:rsidRDefault="003709E1" w:rsidP="00B94B31">
      <w:pPr>
        <w:jc w:val="center"/>
        <w:rPr>
          <w:rFonts w:ascii="Times New Roman" w:hAnsi="Times New Roman" w:cs="Times New Roman"/>
          <w:b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4963D6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r w:rsidR="00463BAC">
              <w:fldChar w:fldCharType="begin"/>
            </w:r>
            <w:r w:rsidR="00463BAC" w:rsidRPr="004963D6">
              <w:rPr>
                <w:lang w:val="en-US"/>
              </w:rPr>
              <w:instrText xml:space="preserve"> HYPERLINK "mailto:info@ygk.uz" </w:instrText>
            </w:r>
            <w:r w:rsidR="00463BAC">
              <w:fldChar w:fldCharType="separate"/>
            </w:r>
            <w:r w:rsidRPr="0050488F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t>info@ygk.uz</w:t>
            </w:r>
            <w:r w:rsidR="00463BAC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fldChar w:fldCharType="end"/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E00E6C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Тупроқ таҳлил лаборатория</w:t>
            </w:r>
            <w:r w:rsidR="00655016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="00B94B31"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сидаги фаолият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7D7D64" w:rsidP="00E72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М03.002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 xml:space="preserve">Дескриптор </w:t>
            </w:r>
            <w:proofErr w:type="spellStart"/>
            <w:r w:rsidRPr="00670BEE">
              <w:rPr>
                <w:rFonts w:ascii="Times New Roman" w:hAnsi="Times New Roman" w:cs="Times New Roman"/>
              </w:rPr>
              <w:t>коди</w:t>
            </w:r>
            <w:proofErr w:type="spellEnd"/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29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17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D22B6A" w:rsidRDefault="00B94B31" w:rsidP="001C0E8D">
            <w:pPr>
              <w:pStyle w:val="40"/>
              <w:shd w:val="clear" w:color="auto" w:fill="auto"/>
              <w:spacing w:before="240" w:after="0" w:line="240" w:lineRule="auto"/>
              <w:rPr>
                <w:b w:val="0"/>
                <w:sz w:val="24"/>
                <w:szCs w:val="24"/>
              </w:rPr>
            </w:pPr>
            <w:r w:rsidRPr="00D22B6A">
              <w:rPr>
                <w:b w:val="0"/>
                <w:sz w:val="24"/>
                <w:szCs w:val="24"/>
              </w:rPr>
              <w:t xml:space="preserve">- </w:t>
            </w:r>
            <w:r w:rsidR="00670BEE" w:rsidRPr="00D22B6A">
              <w:rPr>
                <w:b w:val="0"/>
                <w:sz w:val="24"/>
                <w:szCs w:val="24"/>
                <w:lang w:val="uz-Cyrl-UZ"/>
              </w:rPr>
              <w:t>И</w:t>
            </w:r>
            <w:r w:rsidRPr="00D22B6A">
              <w:rPr>
                <w:b w:val="0"/>
                <w:sz w:val="24"/>
                <w:szCs w:val="24"/>
              </w:rPr>
              <w:t xml:space="preserve">ш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ўрнин</w:t>
            </w:r>
            <w:proofErr w:type="spellEnd"/>
            <w:r w:rsidRPr="00D22B6A">
              <w:rPr>
                <w:b w:val="0"/>
                <w:sz w:val="24"/>
                <w:szCs w:val="24"/>
                <w:lang w:val="uz-Cyrl-UZ"/>
              </w:rPr>
              <w:t>и</w:t>
            </w:r>
            <w:r w:rsidR="00560658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таш</w:t>
            </w:r>
            <w:proofErr w:type="spellEnd"/>
            <w:r w:rsidR="005606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22B6A">
              <w:rPr>
                <w:b w:val="0"/>
                <w:sz w:val="24"/>
                <w:szCs w:val="24"/>
              </w:rPr>
              <w:t>килқилиш</w:t>
            </w:r>
            <w:proofErr w:type="spellEnd"/>
            <w:r w:rsidRPr="00D22B6A">
              <w:rPr>
                <w:b w:val="0"/>
                <w:sz w:val="24"/>
                <w:szCs w:val="24"/>
              </w:rPr>
              <w:t>;</w:t>
            </w:r>
          </w:p>
          <w:p w:rsidR="00B94B31" w:rsidRPr="00D22B6A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22B6A">
              <w:rPr>
                <w:b w:val="0"/>
                <w:sz w:val="24"/>
                <w:szCs w:val="24"/>
              </w:rPr>
              <w:t xml:space="preserve">- </w:t>
            </w:r>
            <w:r w:rsidR="00E00E6C" w:rsidRPr="00D22B6A">
              <w:rPr>
                <w:b w:val="0"/>
                <w:bCs w:val="0"/>
                <w:sz w:val="24"/>
                <w:szCs w:val="24"/>
                <w:lang w:val="uz-Cyrl-UZ"/>
              </w:rPr>
              <w:t>Тупроқ, сув ва ўсимлик намуналарини</w:t>
            </w:r>
            <w:r w:rsidR="00AF749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замонавий асбобларда </w:t>
            </w:r>
            <w:r w:rsidR="00E00E6C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таҳлил қилиш </w:t>
            </w:r>
            <w:r w:rsidR="00AF749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ишларини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бажариш</w:t>
            </w:r>
            <w:r w:rsidRPr="00D22B6A">
              <w:rPr>
                <w:b w:val="0"/>
                <w:bCs w:val="0"/>
                <w:sz w:val="24"/>
                <w:szCs w:val="24"/>
              </w:rPr>
              <w:t>;</w:t>
            </w:r>
          </w:p>
          <w:p w:rsidR="00D22B6A" w:rsidRPr="00D22B6A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D22B6A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00E6C" w:rsidRPr="00D22B6A">
              <w:rPr>
                <w:b w:val="0"/>
                <w:bCs w:val="0"/>
                <w:sz w:val="24"/>
                <w:szCs w:val="24"/>
                <w:lang w:val="uz-Cyrl-UZ"/>
              </w:rPr>
              <w:t>И</w:t>
            </w:r>
            <w:r w:rsidR="00E00E6C" w:rsidRPr="00D22B6A">
              <w:rPr>
                <w:b w:val="0"/>
                <w:bCs w:val="0"/>
                <w:sz w:val="24"/>
                <w:szCs w:val="24"/>
              </w:rPr>
              <w:t xml:space="preserve">қтисодийвасамаралиишлабчиқаришусулларинитопишучунтажриба-тадқиқотишларини, </w:t>
            </w:r>
            <w:proofErr w:type="spellStart"/>
            <w:r w:rsidR="00E00E6C" w:rsidRPr="00D22B6A">
              <w:rPr>
                <w:b w:val="0"/>
                <w:bCs w:val="0"/>
                <w:sz w:val="24"/>
                <w:szCs w:val="24"/>
              </w:rPr>
              <w:t>шунингдек</w:t>
            </w:r>
            <w:proofErr w:type="spellEnd"/>
            <w:r w:rsidR="00E00E6C" w:rsidRPr="00D22B6A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E00E6C" w:rsidRPr="00D22B6A">
              <w:rPr>
                <w:b w:val="0"/>
                <w:bCs w:val="0"/>
                <w:sz w:val="24"/>
                <w:szCs w:val="24"/>
              </w:rPr>
              <w:t>ишлабчиқариш</w:t>
            </w:r>
            <w:proofErr w:type="spellEnd"/>
            <w:r w:rsidR="00D22B6A" w:rsidRPr="00D22B6A">
              <w:rPr>
                <w:b w:val="0"/>
                <w:bCs w:val="0"/>
                <w:sz w:val="24"/>
                <w:szCs w:val="24"/>
                <w:lang w:val="uz-Cyrl-UZ"/>
              </w:rPr>
              <w:t>да</w:t>
            </w:r>
            <w:r w:rsidR="00E00E6C" w:rsidRPr="00D22B6A">
              <w:rPr>
                <w:b w:val="0"/>
                <w:bCs w:val="0"/>
                <w:sz w:val="24"/>
                <w:szCs w:val="24"/>
              </w:rPr>
              <w:t xml:space="preserve"> лаборатория </w:t>
            </w:r>
            <w:proofErr w:type="spellStart"/>
            <w:r w:rsidR="00E00E6C" w:rsidRPr="00D22B6A">
              <w:rPr>
                <w:b w:val="0"/>
                <w:bCs w:val="0"/>
                <w:sz w:val="24"/>
                <w:szCs w:val="24"/>
              </w:rPr>
              <w:t>назоратиниамалгаоширади</w:t>
            </w:r>
            <w:proofErr w:type="spellEnd"/>
            <w:r w:rsidR="00D22B6A" w:rsidRPr="00D22B6A">
              <w:rPr>
                <w:b w:val="0"/>
                <w:bCs w:val="0"/>
                <w:sz w:val="24"/>
                <w:szCs w:val="24"/>
                <w:lang w:val="uz-Cyrl-UZ"/>
              </w:rPr>
              <w:t>;</w:t>
            </w:r>
          </w:p>
          <w:p w:rsidR="00D22B6A" w:rsidRPr="00D22B6A" w:rsidRDefault="00D22B6A" w:rsidP="001C0E8D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- 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Замонавий махсус дастурларда </w:t>
            </w:r>
            <w:r w:rsidR="00E00E6C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таҳлил ҳисоботларини</w:t>
            </w:r>
            <w:r w:rsidR="00965F51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тузиш</w:t>
            </w:r>
            <w:r w:rsidR="00670BEE"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;</w:t>
            </w:r>
          </w:p>
          <w:p w:rsidR="00B94B31" w:rsidRPr="00D22B6A" w:rsidRDefault="00D22B6A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22B6A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- Лаборатория назорати ва техник ҳужжатларни расмийлаштириш учун стандартлар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билан танишиш;</w:t>
            </w:r>
          </w:p>
          <w:p w:rsidR="00B94B31" w:rsidRPr="00D22B6A" w:rsidRDefault="00B94B31" w:rsidP="00AD7DD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lang w:val="uz-Cyrl-UZ"/>
              </w:rPr>
            </w:pPr>
            <w:r w:rsidRPr="00D22B6A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AD7DD2" w:rsidRPr="00AD7DD2">
              <w:rPr>
                <w:b w:val="0"/>
                <w:color w:val="000000" w:themeColor="text1"/>
                <w:sz w:val="22"/>
                <w:szCs w:val="22"/>
                <w:lang w:val="uz-Cyrl-UZ"/>
              </w:rPr>
              <w:t>Таҳлил ишларини компьютер дастурларида бажариш</w:t>
            </w:r>
            <w:r w:rsidR="00670BEE" w:rsidRPr="00AD7DD2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1C4CA2" w:rsidRDefault="00B25AD2" w:rsidP="007C25F4">
            <w:pPr>
              <w:jc w:val="center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 w:rsidRPr="001C4CA2">
              <w:rPr>
                <w:rFonts w:ascii="Times New Roman" w:hAnsi="Times New Roman" w:cs="Times New Roman"/>
                <w:i/>
                <w:color w:val="auto"/>
                <w:lang w:val="uz-Cyrl-UZ"/>
              </w:rPr>
              <w:t>2149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744075" w:rsidP="008279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4075">
              <w:rPr>
                <w:rFonts w:ascii="Times New Roman" w:hAnsi="Times New Roman" w:cs="Times New Roman"/>
                <w:i/>
                <w:lang w:val="uz-Cyrl-UZ"/>
              </w:rPr>
              <w:t>Архитектор</w:t>
            </w:r>
            <w:r w:rsidR="0082791C">
              <w:rPr>
                <w:rFonts w:ascii="Times New Roman" w:hAnsi="Times New Roman" w:cs="Times New Roman"/>
                <w:i/>
                <w:lang w:val="uz-Cyrl-UZ"/>
              </w:rPr>
              <w:t>лар</w:t>
            </w:r>
            <w:r w:rsidRPr="00744075">
              <w:rPr>
                <w:rFonts w:ascii="Times New Roman" w:hAnsi="Times New Roman" w:cs="Times New Roman"/>
                <w:i/>
                <w:lang w:val="uz-Cyrl-UZ"/>
              </w:rPr>
              <w:t xml:space="preserve">, </w:t>
            </w:r>
            <w:r w:rsidR="0082791C">
              <w:rPr>
                <w:rFonts w:ascii="Times New Roman" w:hAnsi="Times New Roman" w:cs="Times New Roman"/>
                <w:i/>
                <w:lang w:val="uz-Cyrl-UZ"/>
              </w:rPr>
              <w:t>муҳандислар ва мутахассислар-турдош касблар профессионаллари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744075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75" w:rsidRPr="00670BEE" w:rsidRDefault="00744075" w:rsidP="001C0E8D">
            <w:pPr>
              <w:rPr>
                <w:rFonts w:ascii="Times New Roman" w:hAnsi="Times New Roman" w:cs="Times New Roman"/>
                <w:i/>
              </w:rPr>
            </w:pPr>
            <w:r w:rsidRPr="00664141">
              <w:rPr>
                <w:rFonts w:ascii="Times New Roman" w:hAnsi="Times New Roman" w:cs="Times New Roman"/>
                <w:i/>
                <w:lang w:val="uz-Cyrl-UZ"/>
              </w:rPr>
              <w:t>72.1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C" w:rsidRPr="0082791C" w:rsidRDefault="0082791C" w:rsidP="00A00B09">
            <w:pPr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Табиий </w:t>
            </w:r>
            <w:r w:rsidR="00A00B09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фанлар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ва муҳандислик соҳаларидаги экспериментал қайта ишлаш ва илмий тадқиқотлар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22B6A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3258"/>
        <w:gridCol w:w="1385"/>
        <w:gridCol w:w="1385"/>
        <w:gridCol w:w="6684"/>
        <w:gridCol w:w="1181"/>
      </w:tblGrid>
      <w:tr w:rsidR="00B94B31" w:rsidRPr="00724286" w:rsidTr="00724286"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724286" w:rsidTr="00724286">
        <w:trPr>
          <w:trHeight w:val="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24286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724286" w:rsidTr="00724286">
        <w:trPr>
          <w:trHeight w:val="460"/>
        </w:trPr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724286" w:rsidRDefault="00B94B31" w:rsidP="00F577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Иш ўрнини ташкил қилиш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461B4" w:rsidRDefault="007D7D64" w:rsidP="002E0046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857314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</w:t>
            </w:r>
            <w:r w:rsidR="007D7D6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И</w:t>
            </w:r>
            <w:r w:rsidR="00D22B6A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ш </w:t>
            </w:r>
            <w:r w:rsidR="00932FC6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ўрни, </w:t>
            </w:r>
            <w:r w:rsidR="00D22B6A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асбоблари, реактивлар ва стандартлар тайёрлаб олиш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9314E" w:rsidRDefault="00147260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724286" w:rsidTr="00724286">
        <w:trPr>
          <w:trHeight w:val="309"/>
        </w:trPr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724286" w:rsidRDefault="00B94B31" w:rsidP="00F577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461B4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724286" w:rsidRDefault="00857314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</w:t>
            </w:r>
            <w:r w:rsidR="007D7D6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724286" w:rsidRDefault="00B94B31" w:rsidP="00560658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Ўлчаш  ва </w:t>
            </w:r>
            <w:r w:rsidR="00D22B6A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таҳлил</w:t>
            </w: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ишларини амалга оширишда</w:t>
            </w:r>
            <w:r w:rsidR="00560658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</w:t>
            </w: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техника хавфсизлиги талабларига риоя қилиш</w:t>
            </w:r>
            <w:r w:rsidR="00560658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</w:t>
            </w:r>
            <w:r w:rsidR="00560658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ва </w:t>
            </w:r>
            <w:r w:rsidR="00560658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хавфсиз ишлаш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9314E" w:rsidRDefault="000E3269" w:rsidP="001C0E8D">
            <w:pPr>
              <w:jc w:val="center"/>
              <w:rPr>
                <w:rFonts w:ascii="Times New Roman" w:hAnsi="Times New Roman" w:cs="Times New Roman"/>
              </w:rPr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0E3269" w:rsidRPr="00724286" w:rsidTr="000E3269">
        <w:trPr>
          <w:trHeight w:val="460"/>
        </w:trPr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3269" w:rsidRPr="00724286" w:rsidRDefault="000E326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9" w:rsidRPr="00724286" w:rsidRDefault="000E3269" w:rsidP="00F577F1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Тупроқ, сув ва ўсимлик намуналарида таҳлил ишларини  бажариш</w:t>
            </w:r>
            <w:r w:rsidRPr="00724286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3269" w:rsidRDefault="000E3269" w:rsidP="002E0046">
            <w:pPr>
              <w:jc w:val="center"/>
            </w:pPr>
            <w:r w:rsidRPr="009B41CA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Замонавий технологиялардан фойдаланган ҳолда таҳлил ишларини бажариш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9314E" w:rsidRDefault="000E3269" w:rsidP="000E3269">
            <w:pPr>
              <w:jc w:val="center"/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0E3269" w:rsidRPr="00724286" w:rsidTr="000E3269">
        <w:trPr>
          <w:trHeight w:val="46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9" w:rsidRPr="00724286" w:rsidRDefault="000E326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9" w:rsidRPr="00724286" w:rsidRDefault="000E3269" w:rsidP="00F577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461B4" w:rsidRDefault="000E3269" w:rsidP="000E326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A1109E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</w:t>
            </w:r>
            <w:r w:rsidR="000E3269"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="000E326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9314E" w:rsidRDefault="000E3269" w:rsidP="000E3269">
            <w:pPr>
              <w:jc w:val="center"/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0E3269" w:rsidRPr="00724286" w:rsidTr="000E3269">
        <w:trPr>
          <w:trHeight w:val="46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F577F1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Олинган таҳлил натижаларини умумлаштириш ва назорат қилиш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Default="000E3269" w:rsidP="002E0046">
            <w:pPr>
              <w:jc w:val="center"/>
            </w:pPr>
            <w:r w:rsidRPr="009B41CA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Ўтказилган таҳлиллар, тестлар ва тадқиқотлар асосида зарур ҳисоб-китобларни амалга оширади, </w:t>
            </w:r>
            <w:r w:rsidR="005606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таҳлиллар якуний ишлари</w:t>
            </w:r>
            <w:r w:rsidR="00560658"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ни</w:t>
            </w:r>
            <w:r w:rsidR="005606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="00560658"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компьютер дастурларда</w:t>
            </w:r>
            <w:r w:rsidR="005606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="00560658"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бажариш</w:t>
            </w:r>
            <w:r w:rsidR="005606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,</w:t>
            </w:r>
            <w:r w:rsidR="00560658"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 </w:t>
            </w: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олинган натижаларни таҳлил қилади ва уларни тизимлаштиради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9314E" w:rsidRDefault="000E3269" w:rsidP="000E3269">
            <w:pPr>
              <w:jc w:val="center"/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0E3269" w:rsidRPr="00724286" w:rsidTr="000E3269">
        <w:trPr>
          <w:trHeight w:val="460"/>
        </w:trPr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F577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6461B4" w:rsidRDefault="000E3269" w:rsidP="000E326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724286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9314E" w:rsidRDefault="000E3269" w:rsidP="000E3269">
            <w:pPr>
              <w:jc w:val="center"/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0E3269" w:rsidRPr="00724286" w:rsidTr="009A2F56">
        <w:trPr>
          <w:trHeight w:val="70"/>
        </w:trPr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0E3269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560658" w:rsidP="007D7D6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  <w:r w:rsidR="00A1109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/03</w:t>
            </w:r>
            <w:r w:rsidR="000E3269" w:rsidRPr="0072428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="000E326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724286" w:rsidRDefault="009A2F56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Таҳлил ишлари</w:t>
            </w:r>
            <w:r w:rsidRPr="0072428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z-Cyrl-UZ"/>
              </w:rPr>
              <w:t xml:space="preserve"> тизимлаштириш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69" w:rsidRPr="0069314E" w:rsidRDefault="000E3269" w:rsidP="000E3269">
            <w:pPr>
              <w:jc w:val="center"/>
            </w:pPr>
            <w:r w:rsidRPr="0069314E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</w:tbl>
    <w:p w:rsidR="009A2F56" w:rsidRDefault="009A2F56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A2F56" w:rsidRDefault="009A2F5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2E0046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7" w:rsidRDefault="00CE0107" w:rsidP="00CE010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Инженер лаборант</w:t>
            </w:r>
            <w:r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6E3092" w:rsidRDefault="00724286" w:rsidP="00691B2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 и</w:t>
            </w:r>
            <w:r w:rsidR="006E3092">
              <w:rPr>
                <w:rFonts w:ascii="Times New Roman" w:hAnsi="Times New Roman" w:cs="Times New Roman"/>
                <w:i/>
                <w:lang w:val="uz-Cyrl-UZ"/>
              </w:rPr>
              <w:t>нженер-лаборант;</w:t>
            </w:r>
            <w:r>
              <w:rPr>
                <w:rFonts w:ascii="Times New Roman" w:hAnsi="Times New Roman" w:cs="Times New Roman"/>
                <w:i/>
                <w:lang w:val="uz-Cyrl-UZ"/>
              </w:rPr>
              <w:t>1-тоифали и</w:t>
            </w:r>
            <w:r w:rsidR="006E3092">
              <w:rPr>
                <w:rFonts w:ascii="Times New Roman" w:hAnsi="Times New Roman" w:cs="Times New Roman"/>
                <w:i/>
                <w:lang w:val="uz-Cyrl-UZ"/>
              </w:rPr>
              <w:t>нженер-лаборант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CE0107" w:rsidRPr="00670BEE" w:rsidRDefault="00CE0107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инженер лаборант</w:t>
            </w:r>
            <w:r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A5EA1" w:rsidRPr="004963D6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1" w:rsidRPr="00670BEE" w:rsidRDefault="00BA5EA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1" w:rsidRPr="00670BEE" w:rsidRDefault="00BA5EA1" w:rsidP="00BA5EA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A5EA1" w:rsidRPr="004963D6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1" w:rsidRPr="00670BEE" w:rsidRDefault="00BA5EA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1" w:rsidRPr="00670BEE" w:rsidRDefault="00BA5EA1" w:rsidP="00BA5EA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технологиялардан фойдаланган ҳолда таҳлил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. </w:t>
            </w: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Лаборатория жиҳозл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ари ва улар билан ишлаш тартиби. </w:t>
            </w: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ишлаш;</w:t>
            </w:r>
          </w:p>
        </w:tc>
      </w:tr>
      <w:tr w:rsidR="00B94B31" w:rsidRPr="004963D6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C94B8E" w:rsidRPr="004963D6" w:rsidTr="00BA5EA1">
        <w:trPr>
          <w:trHeight w:val="552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</w:t>
            </w:r>
            <w:r w:rsidR="00F577F1">
              <w:rPr>
                <w:rFonts w:ascii="Times New Roman" w:hAnsi="Times New Roman" w:cs="Times New Roman"/>
                <w:i/>
                <w:lang w:val="uz-Cyrl-UZ"/>
              </w:rPr>
              <w:t>ча етарли тажриба тўплаши керак;</w:t>
            </w:r>
          </w:p>
        </w:tc>
      </w:tr>
      <w:tr w:rsidR="00C94B8E" w:rsidRPr="004963D6" w:rsidTr="00BA5EA1">
        <w:trPr>
          <w:trHeight w:val="552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“Тупроқшунослик” ва “Агротупроқшунослик ва агрофизика” ихтисосликлари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4963D6" w:rsidRDefault="004963D6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F34A6E" w:rsidRDefault="00F34A6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F34A6E" w:rsidRPr="00F34A6E" w:rsidRDefault="00F34A6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670BEE" w:rsidRDefault="00670BE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670BEE" w:rsidRDefault="00670BE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Default="00670BE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724286" w:rsidRDefault="00670BE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724286" w:rsidRPr="00DF62CD" w:rsidRDefault="00724286" w:rsidP="00724286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670BEE" w:rsidRPr="00A570B4" w:rsidRDefault="00670BEE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 w:rsidR="00A570B4"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="00A570B4" w:rsidRPr="00A570B4">
        <w:rPr>
          <w:rFonts w:ascii="Times New Roman" w:hAnsi="Times New Roman"/>
          <w:lang w:val="uz-Cyrl-UZ"/>
        </w:rPr>
        <w:t xml:space="preserve">14 мартдаги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="00A570B4" w:rsidRPr="00A570B4">
        <w:rPr>
          <w:rFonts w:ascii="Times New Roman" w:hAnsi="Times New Roman"/>
          <w:lang w:val="uz-Cyrl-UZ"/>
        </w:rPr>
        <w:t xml:space="preserve">ПҚ-4239-сон </w:t>
      </w:r>
      <w:r w:rsidRPr="00A570B4">
        <w:rPr>
          <w:rFonts w:ascii="Times New Roman" w:hAnsi="Times New Roman"/>
          <w:lang w:val="uz-Cyrl-UZ"/>
        </w:rPr>
        <w:t>қарори.</w:t>
      </w:r>
    </w:p>
    <w:p w:rsidR="00385639" w:rsidRPr="00385639" w:rsidRDefault="00385639" w:rsidP="007242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="00A570B4"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4963D6" w:rsidRDefault="004963D6">
      <w:pPr>
        <w:widowControl/>
        <w:spacing w:after="200" w:line="276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857314" w:rsidRPr="00857314" w:rsidRDefault="00857314" w:rsidP="00857314">
      <w:pPr>
        <w:rPr>
          <w:rFonts w:ascii="Times New Roman" w:hAnsi="Times New Roman"/>
          <w:lang w:val="uz-Cyrl-UZ"/>
        </w:rPr>
      </w:pPr>
    </w:p>
    <w:p w:rsidR="00B94B31" w:rsidRPr="00670BEE" w:rsidRDefault="00857314" w:rsidP="00857314">
      <w:pPr>
        <w:widowControl/>
        <w:tabs>
          <w:tab w:val="left" w:pos="2835"/>
        </w:tabs>
        <w:spacing w:after="200" w:line="276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lang w:val="uz-Cyrl-UZ"/>
        </w:rPr>
        <w:tab/>
      </w:r>
      <w:r w:rsidR="00B94B31" w:rsidRPr="00670BEE">
        <w:rPr>
          <w:rFonts w:ascii="Times New Roman" w:hAnsi="Times New Roman"/>
          <w:b/>
          <w:lang w:val="en-US"/>
        </w:rPr>
        <w:t>3.</w:t>
      </w:r>
      <w:r w:rsidR="00B94B31" w:rsidRPr="00670BEE">
        <w:rPr>
          <w:rFonts w:ascii="Times New Roman" w:hAnsi="Times New Roman"/>
          <w:b/>
          <w:lang w:val="uz-Cyrl-UZ"/>
        </w:rPr>
        <w:t>1.1.</w:t>
      </w:r>
      <w:r w:rsidR="00B94B31" w:rsidRPr="00670BEE">
        <w:rPr>
          <w:rFonts w:ascii="Times New Roman" w:hAnsi="Times New Roman"/>
          <w:b/>
        </w:rPr>
        <w:t>М</w:t>
      </w:r>
      <w:r w:rsidR="00B94B31" w:rsidRPr="00670BEE">
        <w:rPr>
          <w:rFonts w:ascii="Times New Roman" w:hAnsi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932FC6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932FC6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Иш ўрни, асбоблари, реактивлар ва стандартлар тайёрлаб олиш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E004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20308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Йўриқномадан ўтказиш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Вазифасини белгилаш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BA5EA1" w:rsidP="001C0E8D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560658" w:rsidRDefault="00560658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560658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Ўлчаш  ва таҳлил ишларини амалга оширишда техника хавфсизлиги талабларига риоя қилиш ва хавфсиз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E004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Хавфсизлик тадбирларини кўриш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Ўлчаш ишларини олиб бориш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BA5EA1" w:rsidP="001C0E8D">
            <w:pPr>
              <w:spacing w:before="40" w:after="40"/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F34A6E" w:rsidRDefault="00F34A6E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32FC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32F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Тупроқ, сув ва ўсимлик намуналарида таҳлил ишларини 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2E0046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89729F" w:rsidRDefault="0089729F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Инженер лаборант</w:t>
            </w:r>
            <w:r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9729F" w:rsidRDefault="0089729F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 инженер-лаборант;1-тоифали инженер-лаборант;</w:t>
            </w:r>
          </w:p>
          <w:p w:rsidR="00A43658" w:rsidRPr="00670BEE" w:rsidRDefault="00424CFB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инженер-</w:t>
            </w:r>
            <w:r w:rsidR="0089729F">
              <w:rPr>
                <w:rFonts w:ascii="Times New Roman" w:hAnsi="Times New Roman" w:cs="Times New Roman"/>
                <w:i/>
                <w:lang w:val="uz-Cyrl-UZ"/>
              </w:rPr>
              <w:t>лаборант</w:t>
            </w:r>
            <w:r w:rsidR="0089729F"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963D6" w:rsidTr="00BA5EA1">
        <w:trPr>
          <w:trHeight w:val="70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963D6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932FC6" w:rsidP="00BA5EA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технологиялардан фойдаланган ҳолда таҳлил ишларини бажариш</w:t>
            </w:r>
            <w:r w:rsidR="00BA5EA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. </w:t>
            </w: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Лаборатория жиҳозл</w:t>
            </w:r>
            <w:r w:rsidR="00BA5EA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ари ва улар билан ишлаш тартиби. </w:t>
            </w:r>
            <w:r w:rsidRPr="00932F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ишлаш;</w:t>
            </w:r>
          </w:p>
        </w:tc>
      </w:tr>
      <w:tr w:rsidR="00B94B31" w:rsidRPr="004963D6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C94B8E" w:rsidRPr="004963D6" w:rsidTr="001C0E8D">
        <w:trPr>
          <w:trHeight w:val="552"/>
        </w:trPr>
        <w:tc>
          <w:tcPr>
            <w:tcW w:w="2039" w:type="pct"/>
            <w:vMerge w:val="restart"/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C94B8E" w:rsidRPr="004963D6" w:rsidTr="001C0E8D">
        <w:trPr>
          <w:trHeight w:val="552"/>
        </w:trPr>
        <w:tc>
          <w:tcPr>
            <w:tcW w:w="2039" w:type="pct"/>
            <w:vMerge/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vAlign w:val="center"/>
          </w:tcPr>
          <w:p w:rsidR="00C94B8E" w:rsidRPr="00670BEE" w:rsidRDefault="00C94B8E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“Тупроқшунослик” ва “Агротупроқшунослик ва агрофизика” ихтисосликлари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4963D6" w:rsidRDefault="004963D6" w:rsidP="00724286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724286" w:rsidRPr="00670BEE" w:rsidRDefault="00724286" w:rsidP="00724286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24286" w:rsidRPr="00F34A6E" w:rsidRDefault="00724286" w:rsidP="00724286">
      <w:pPr>
        <w:pStyle w:val="a8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724286" w:rsidRPr="00F34A6E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724286" w:rsidRPr="00670BEE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724286" w:rsidRPr="00670BEE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724286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724286" w:rsidRPr="00724286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724286" w:rsidRPr="00DF62CD" w:rsidRDefault="00724286" w:rsidP="00724286">
      <w:pPr>
        <w:pStyle w:val="a8"/>
        <w:numPr>
          <w:ilvl w:val="0"/>
          <w:numId w:val="16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724286" w:rsidRPr="00A570B4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Pr="00A570B4">
        <w:rPr>
          <w:rFonts w:ascii="Times New Roman" w:hAnsi="Times New Roman"/>
          <w:lang w:val="uz-Cyrl-UZ"/>
        </w:rPr>
        <w:t xml:space="preserve">14 мартдаги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Pr="00A570B4">
        <w:rPr>
          <w:rFonts w:ascii="Times New Roman" w:hAnsi="Times New Roman"/>
          <w:lang w:val="uz-Cyrl-UZ"/>
        </w:rPr>
        <w:t>ПҚ-4239-сон қарори.</w:t>
      </w:r>
    </w:p>
    <w:p w:rsidR="00724286" w:rsidRPr="00385639" w:rsidRDefault="00724286" w:rsidP="0072428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4963D6" w:rsidRDefault="004963D6">
      <w:pPr>
        <w:widowControl/>
        <w:spacing w:after="200" w:line="276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32FC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32F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Замонавий технологиялардан фойдаланган ҳолда таҳлил ишларини бажариш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9846FE" w:rsidRDefault="002E0046" w:rsidP="001C0E8D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uz-Cyrl-UZ"/>
              </w:rPr>
            </w:pPr>
            <w:r w:rsidRPr="002E0046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</w:pPr>
            <w:r w:rsidRPr="00B4145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Замонавий технологиялардан фойдаланган ҳолда таҳлил ишларини бажариш </w:t>
            </w:r>
          </w:p>
        </w:tc>
      </w:tr>
      <w:tr w:rsidR="00B94B31" w:rsidRPr="00E00E6C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Таҳлил натижаларини</w:t>
            </w:r>
            <w:r w:rsidR="000962B9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 компьютерга ўтказиш ва қайта ҳисоблаб чиқиш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E00E6C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41453" w:rsidRDefault="00B41453" w:rsidP="000962B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Лаборатория жиҳозлари билан танишиш ва уларда ишлаш;</w:t>
            </w:r>
          </w:p>
          <w:p w:rsidR="00B94B31" w:rsidRPr="004E0A1D" w:rsidRDefault="00B41453" w:rsidP="00BA5EA1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Зарур реактив ва стандартларни тайёрлаш ва уларни текшириш кўникмаси;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B41453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Тупроқ, сув ва ўсимлик намуналарини  таҳлил қилиш бўйича керакли усулларни билиш; 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BA5EA1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02C4B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02C4B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A5EA1" w:rsidRPr="00670BEE" w:rsidRDefault="00BA5EA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2.3.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9E4F61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E4F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A1109E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E0107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724286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Ишлаб чиқаришни технологик жараёни, лаборатория назорати ва техник ҳужжатларни расмийлаштириш бўйича стандартлар, низомлар, кўрсатмалар ва бошқа норматив хужжатлар билан ишлаш;</w:t>
            </w:r>
          </w:p>
        </w:tc>
      </w:tr>
      <w:tr w:rsidR="00B94B31" w:rsidRPr="004963D6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Ишлаб чиқариш жараёнига тегишли ҳужжатлар билан ишлаш;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F9256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F9256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Янги кўрсатмалар, йўриқномалар ва низомлар ишлаб чиқишда иштирок этиш;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Мавжуд техник хужжатларни ишлаб чиқариш жараёнида тадбиқ этилишини назорат қилиш</w:t>
            </w:r>
            <w:r w:rsidR="002C79DF"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E00E6C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9E4F61" w:rsidRDefault="009E4F61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E4F6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Аниқланган хато ва камчиликларни зудлик билан бартараф этиш; </w:t>
            </w:r>
          </w:p>
        </w:tc>
      </w:tr>
      <w:tr w:rsidR="00325895" w:rsidRPr="00670BEE" w:rsidTr="001C0E8D">
        <w:trPr>
          <w:trHeight w:val="396"/>
        </w:trPr>
        <w:tc>
          <w:tcPr>
            <w:tcW w:w="1277" w:type="pct"/>
            <w:vAlign w:val="center"/>
          </w:tcPr>
          <w:p w:rsidR="00325895" w:rsidRPr="00670BEE" w:rsidRDefault="00325895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9E4F61" w:rsidRDefault="0032589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ҳужжат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лар ва норматив</w:t>
            </w:r>
            <w:r w:rsidR="004E0A1D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техник </w:t>
            </w:r>
            <w:r w:rsidR="00E00FF4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қўлланма</w:t>
            </w:r>
            <w:r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материалларни ўрганиш</w:t>
            </w:r>
            <w:r w:rsidR="002C79DF" w:rsidRPr="009E4F6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963D6" w:rsidRDefault="004963D6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724286">
        <w:rPr>
          <w:rFonts w:ascii="Times New Roman" w:hAnsi="Times New Roman" w:cs="Times New Roman"/>
          <w:b/>
          <w:lang w:val="uz-Cyrl-UZ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Pr="00724286">
        <w:rPr>
          <w:rFonts w:ascii="Times New Roman" w:hAnsi="Times New Roman" w:cs="Times New Roman"/>
          <w:b/>
          <w:lang w:val="uz-Cyrl-UZ"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724286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5132B1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Олинган таҳлил натижаларини умумлаштириш ва назорат қилиш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E0107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9F" w:rsidRDefault="0089729F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Инженер лаборант</w:t>
            </w:r>
            <w:r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9729F" w:rsidRDefault="0089729F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 инженер-лаборант;1-тоифали инженер-лаборант;</w:t>
            </w:r>
          </w:p>
          <w:p w:rsidR="00B94B31" w:rsidRPr="004E0A1D" w:rsidRDefault="0089729F" w:rsidP="0089729F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инженер лаборант</w:t>
            </w:r>
            <w:r w:rsidRPr="00B25AD2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963D6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Иш фаолиятида тўпланган </w:t>
            </w:r>
            <w:r w:rsidR="00325895"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кўникма ва билимлар асосидаги 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тажриба ёки қисқа муддатли таълим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857314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B1" w:rsidRPr="005132B1" w:rsidRDefault="005132B1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5132B1">
              <w:rPr>
                <w:rFonts w:ascii="Times New Roman" w:hAnsi="Times New Roman" w:cs="Times New Roman"/>
                <w:i/>
                <w:lang w:val="uz-Cyrl-UZ"/>
              </w:rPr>
              <w:t>Ўтказилган таҳлиллар, тестлар ва тадқиқотлар асосида зарур ҳисоб-китобларни амалга оширади, олинган натижаларни таҳлил қилади ва уларни тизимлаштир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иш</w:t>
            </w:r>
          </w:p>
          <w:p w:rsidR="00B94B31" w:rsidRPr="004E0A1D" w:rsidRDefault="005132B1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5132B1">
              <w:rPr>
                <w:rFonts w:ascii="Times New Roman" w:hAnsi="Times New Roman" w:cs="Times New Roman"/>
                <w:i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</w:p>
        </w:tc>
      </w:tr>
      <w:tr w:rsidR="00B94B31" w:rsidRPr="004963D6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C94B8E" w:rsidRPr="004963D6" w:rsidTr="00BA5EA1">
        <w:trPr>
          <w:trHeight w:val="131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724286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4E0A1D" w:rsidRDefault="00C94B8E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C94B8E" w:rsidRPr="004963D6" w:rsidTr="00BA5EA1">
        <w:trPr>
          <w:trHeight w:val="131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670BEE" w:rsidRDefault="00C94B8E" w:rsidP="00724286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E" w:rsidRPr="004E0A1D" w:rsidRDefault="00C94B8E" w:rsidP="0072428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“Тупроқшунослик” ва “Агротупроқшунослик ва агрофизика” ихтисосликлари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724286" w:rsidRPr="00670BEE" w:rsidRDefault="00724286" w:rsidP="00724286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24286" w:rsidRPr="00F34A6E" w:rsidRDefault="00724286" w:rsidP="00724286">
      <w:pPr>
        <w:pStyle w:val="a8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724286" w:rsidRPr="00F34A6E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724286" w:rsidRPr="00670BEE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724286" w:rsidRPr="00670BEE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724286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724286" w:rsidRPr="00724286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lastRenderedPageBreak/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724286" w:rsidRPr="00DF62CD" w:rsidRDefault="00724286" w:rsidP="00724286">
      <w:pPr>
        <w:pStyle w:val="a8"/>
        <w:numPr>
          <w:ilvl w:val="0"/>
          <w:numId w:val="18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724286" w:rsidRPr="00A570B4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</w:t>
      </w:r>
      <w:r>
        <w:rPr>
          <w:rFonts w:ascii="Times New Roman" w:hAnsi="Times New Roman"/>
          <w:sz w:val="24"/>
          <w:szCs w:val="24"/>
          <w:lang w:val="uz-Cyrl-UZ"/>
        </w:rPr>
        <w:t xml:space="preserve">Президентининг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2019 йил </w:t>
      </w:r>
      <w:r w:rsidRPr="00A570B4">
        <w:rPr>
          <w:rFonts w:ascii="Times New Roman" w:hAnsi="Times New Roman"/>
          <w:lang w:val="uz-Cyrl-UZ"/>
        </w:rPr>
        <w:t xml:space="preserve">14 мартдаги </w:t>
      </w:r>
      <w:r w:rsidRPr="00A570B4">
        <w:rPr>
          <w:rFonts w:ascii="Times New Roman" w:hAnsi="Times New Roman"/>
          <w:sz w:val="24"/>
          <w:szCs w:val="24"/>
          <w:lang w:val="uz-Cyrl-UZ"/>
        </w:rPr>
        <w:t xml:space="preserve">“Мева-сабзавотчилик соҳасида қишлоқ хўжалиги кооперациясини ривожлантириш чора-тадбирлари тўғриси”да </w:t>
      </w:r>
      <w:r w:rsidRPr="00A570B4">
        <w:rPr>
          <w:rFonts w:ascii="Times New Roman" w:hAnsi="Times New Roman"/>
          <w:lang w:val="uz-Cyrl-UZ"/>
        </w:rPr>
        <w:t>ПҚ-4239-сон қарори.</w:t>
      </w:r>
    </w:p>
    <w:p w:rsidR="00724286" w:rsidRPr="00385639" w:rsidRDefault="00724286" w:rsidP="00724286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Маҳкамасининг </w:t>
      </w:r>
      <w:r w:rsidRPr="00A570B4">
        <w:rPr>
          <w:rFonts w:ascii="Times New Roman" w:hAnsi="Times New Roman"/>
          <w:sz w:val="24"/>
          <w:szCs w:val="24"/>
          <w:lang w:val="uz-Cyrl-UZ"/>
        </w:rPr>
        <w:t>2019 йил 18 июндаги “Қишлоқ хўжалигида тупроқнинг агрокимёвий таҳлил тизимини такомиллаштириш, экин ерларида тупроқнинг унумдорлигини ошириш чора-тадбирлари тўғриси”да 510-сон қарори.</w:t>
      </w:r>
    </w:p>
    <w:p w:rsidR="004963D6" w:rsidRDefault="004963D6">
      <w:pPr>
        <w:widowControl/>
        <w:spacing w:after="200" w:line="276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B94B31" w:rsidRPr="005132B1" w:rsidRDefault="00B94B31" w:rsidP="005132B1">
      <w:pPr>
        <w:tabs>
          <w:tab w:val="left" w:pos="1134"/>
        </w:tabs>
        <w:ind w:left="709"/>
        <w:jc w:val="both"/>
        <w:rPr>
          <w:rFonts w:ascii="Times New Roman" w:hAnsi="Times New Roman"/>
          <w:lang w:val="uz-Cyrl-UZ"/>
        </w:rPr>
      </w:pPr>
      <w:r w:rsidRPr="005132B1">
        <w:rPr>
          <w:rFonts w:ascii="Times New Roman" w:hAnsi="Times New Roman"/>
          <w:b/>
          <w:lang w:val="en-US"/>
        </w:rPr>
        <w:lastRenderedPageBreak/>
        <w:t>3.</w:t>
      </w:r>
      <w:r w:rsidRPr="005132B1">
        <w:rPr>
          <w:rFonts w:ascii="Times New Roman" w:hAnsi="Times New Roman"/>
          <w:b/>
        </w:rPr>
        <w:t>3.1. М</w:t>
      </w:r>
      <w:r w:rsidRPr="005132B1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560658" w:rsidRDefault="00560658" w:rsidP="001C0E8D">
            <w:pPr>
              <w:jc w:val="both"/>
              <w:rPr>
                <w:rFonts w:ascii="Times New Roman" w:hAnsi="Times New Roman" w:cs="Times New Roman"/>
                <w:bCs/>
                <w:i/>
                <w:lang w:val="uz-Cyrl-UZ"/>
              </w:rPr>
            </w:pPr>
            <w:r w:rsidRPr="00560658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 xml:space="preserve">Ўтказилган таҳлиллар, тестлар ва тадқиқотлар асосида зарур ҳисоб-китобларни амалга оширади, </w:t>
            </w:r>
            <w:r w:rsidRPr="0056065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uz-Cyrl-UZ"/>
              </w:rPr>
              <w:t>таҳлиллар якуний ишларини компьютер дастурларда бажариш,</w:t>
            </w:r>
            <w:r w:rsidRPr="00560658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 xml:space="preserve"> олинган натижаларни таҳлил қилади ва уларни тизимлаштиради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E0107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724286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724286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72428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Бажарилган таҳлил натижаларини тўплаш ва таҳлил қилиш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724286">
        <w:trPr>
          <w:trHeight w:val="70"/>
        </w:trPr>
        <w:tc>
          <w:tcPr>
            <w:tcW w:w="1277" w:type="pct"/>
            <w:vAlign w:val="center"/>
          </w:tcPr>
          <w:p w:rsidR="00B94B31" w:rsidRPr="00670BEE" w:rsidDel="002A1D54" w:rsidRDefault="00B94B31" w:rsidP="00724286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72428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Тўпланган маълумотларни таҳлил қилиш ва уларни бир тизимга келтириш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5132B1" w:rsidP="0072428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Маълумотларни тўплаш ва уларни таҳлил қила олиш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E00E6C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5132B1" w:rsidP="0072428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Аниқланган номутаносибликларни қайта таҳлил қилиш ва уларни бартараф этиш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724286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BA5EA1" w:rsidP="00724286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4963D6" w:rsidRDefault="004963D6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B94B31" w:rsidRPr="00670BEE" w:rsidTr="00BA5EA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B94B31" w:rsidRPr="00670BEE" w:rsidRDefault="005132B1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5132B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Таҳлил ишларини натижаларини компьютер технологияларидан фойдаланган ҳолда умумлаштириш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A1109E" w:rsidP="00CE010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.</w:t>
            </w:r>
            <w:r w:rsidR="00CE0107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E0107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  <w:tr w:rsidR="00B94B31" w:rsidRPr="00670BEE" w:rsidTr="00BA5EA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5132B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132B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A5EA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A1109E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Бажарилган ишларни </w:t>
            </w:r>
            <w:r w:rsidR="005132B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ах</w:t>
            </w:r>
            <w:r w:rsidR="005132B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лаш ва топширишга тайёрлаш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A5EA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Рақамли ва ахборот </w:t>
            </w:r>
            <w:r w:rsidR="00A16D7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маълумотларини таҳлил қилиш ва 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ўқиш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4963D6" w:rsidTr="00BA5EA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A16D7D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Аккредитация фаолиятига асосан</w:t>
            </w:r>
            <w:r w:rsidR="00B94B31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ишлаб чиқаришни тартибга солувчи норматив-ҳуқуқий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ҳужжат</w:t>
            </w:r>
            <w:r w:rsidR="00B94B31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асосида ишлаш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BA5EA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BA5EA1" w:rsidP="001C0E8D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A1109E" w:rsidRDefault="00A1109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1109E" w:rsidRDefault="00A1109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br w:type="page"/>
      </w:r>
    </w:p>
    <w:p w:rsidR="00A1109E" w:rsidRDefault="00A1109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1109E" w:rsidRDefault="00A1109E" w:rsidP="00A1109E">
      <w:pPr>
        <w:pStyle w:val="10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109E" w:rsidRPr="00670BEE" w:rsidRDefault="00A1109E" w:rsidP="00A1109E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z-Cyrl-UZ"/>
        </w:rPr>
        <w:t>.3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A1109E" w:rsidRPr="00670BEE" w:rsidTr="00693B5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109E" w:rsidRPr="00670BEE" w:rsidRDefault="00A1109E" w:rsidP="00693B52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A1109E" w:rsidRDefault="00A1109E" w:rsidP="00693B5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uz-Cyrl-UZ"/>
              </w:rPr>
            </w:pPr>
            <w:r w:rsidRPr="00A1109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uz-Cyrl-UZ"/>
              </w:rPr>
              <w:t>Таҳлил ишларини тизимлаштириш</w:t>
            </w:r>
          </w:p>
          <w:p w:rsidR="00A1109E" w:rsidRPr="00A1109E" w:rsidRDefault="00A1109E" w:rsidP="00693B5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109E" w:rsidRPr="00670BEE" w:rsidRDefault="00A1109E" w:rsidP="00693B5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E" w:rsidRPr="00670BEE" w:rsidRDefault="00A1109E" w:rsidP="00693B52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С/03.5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9E" w:rsidRPr="00670BEE" w:rsidRDefault="00A1109E" w:rsidP="00693B52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E" w:rsidRPr="00670BEE" w:rsidRDefault="00A1109E" w:rsidP="00693B52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  <w:tr w:rsidR="00A1109E" w:rsidRPr="00670BEE" w:rsidTr="00693B5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A1109E" w:rsidRPr="00670BEE" w:rsidRDefault="00A1109E" w:rsidP="00693B5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A1109E" w:rsidRPr="00670BEE" w:rsidRDefault="00A1109E" w:rsidP="00693B5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132B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Таҳлил ишларини натижаларини компьютер технологияларидан фойдаланган ҳолда умумлаштириш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A1109E" w:rsidRPr="00670BEE" w:rsidTr="00693B5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A1109E" w:rsidRPr="00670BEE" w:rsidDel="002A1D54" w:rsidRDefault="00A1109E" w:rsidP="00693B52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A1109E" w:rsidRPr="00670BEE" w:rsidRDefault="00A1109E" w:rsidP="00693B5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Бажарилган ишларни тахлаш ва топширишга тайёрлаш;</w:t>
            </w:r>
          </w:p>
        </w:tc>
      </w:tr>
      <w:tr w:rsidR="00A1109E" w:rsidRPr="00670BEE" w:rsidTr="00693B5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Merge w:val="restart"/>
            <w:vAlign w:val="center"/>
          </w:tcPr>
          <w:p w:rsidR="00A1109E" w:rsidRPr="00670BEE" w:rsidRDefault="00A1109E" w:rsidP="00693B5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A1109E" w:rsidRPr="00670BEE" w:rsidRDefault="00A1109E" w:rsidP="00693B5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Рақамли ва ахборот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маълумотларини таҳлил қилиш ва 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ўқиш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A1109E" w:rsidRPr="004963D6" w:rsidTr="00693B5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Merge/>
            <w:vAlign w:val="center"/>
          </w:tcPr>
          <w:p w:rsidR="00A1109E" w:rsidRPr="00670BEE" w:rsidRDefault="00A1109E" w:rsidP="00693B52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A1109E" w:rsidRPr="00670BEE" w:rsidRDefault="00A1109E" w:rsidP="00693B5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Аккредитация фаолиятига асосан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ишлаб чиқаришни тартибга солувчи норматив-ҳуқуқий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ҳужжат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асосида ишлаш;</w:t>
            </w:r>
          </w:p>
        </w:tc>
      </w:tr>
      <w:tr w:rsidR="00A1109E" w:rsidRPr="00670BEE" w:rsidTr="00693B5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801" w:type="dxa"/>
            <w:gridSpan w:val="2"/>
            <w:vAlign w:val="center"/>
          </w:tcPr>
          <w:p w:rsidR="00A1109E" w:rsidRPr="00670BEE" w:rsidRDefault="00A1109E" w:rsidP="00693B5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A1109E" w:rsidRPr="00670BEE" w:rsidRDefault="00A1109E" w:rsidP="00693B52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қўлланмалар асосида иш юритиш.</w:t>
            </w:r>
          </w:p>
        </w:tc>
      </w:tr>
    </w:tbl>
    <w:p w:rsidR="00A1109E" w:rsidRDefault="00A1109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63D6" w:rsidRDefault="004963D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br w:type="page"/>
      </w:r>
    </w:p>
    <w:p w:rsidR="006E001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6461B4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6461B4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6461B4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6461B4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6461B4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6461B4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544B85" w:rsidTr="006461B4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5" w:rsidRDefault="00544B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Тупроқшунослик ва агрокимё илмий-тадқиқот институти</w:t>
            </w:r>
          </w:p>
        </w:tc>
      </w:tr>
      <w:tr w:rsidR="00544B85" w:rsidRPr="004963D6" w:rsidTr="006461B4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5" w:rsidRDefault="00544B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89729F" w:rsidP="00CB2D1A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Tuproq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tarkibi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va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repozitoriysi</w:t>
            </w:r>
            <w:proofErr w:type="spellEnd"/>
            <w:r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sifati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tahlil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 w:rsidR="002E0046">
              <w:rPr>
                <w:rFonts w:ascii="Times New Roman" w:hAnsi="Times New Roman" w:cs="Times New Roman"/>
                <w:b/>
                <w:i/>
                <w:lang w:val="uz-Cyrl-U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davlat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 w:rsid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>unitar</w:t>
            </w:r>
            <w:proofErr w:type="spellEnd"/>
            <w:r w:rsidR="002E0046" w:rsidRPr="002E0046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korxonasi</w:t>
            </w:r>
            <w:proofErr w:type="spellEnd"/>
          </w:p>
        </w:tc>
      </w:tr>
      <w:tr w:rsidR="006E001E" w:rsidTr="006461B4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F81125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>
              <w:rPr>
                <w:rFonts w:ascii="Times New Roman" w:hAnsi="Times New Roman" w:cs="Times New Roman"/>
                <w:b/>
                <w:i/>
              </w:rPr>
              <w:t>‘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 тузиш илмий-лойиҳалаш институти “Андвилерлойиҳа” ҳуудий бўлинмаси “Тупроқ изланишлари ва бонитировкалаш бўлими” лабораторияси</w:t>
            </w:r>
          </w:p>
        </w:tc>
      </w:tr>
      <w:tr w:rsidR="001728B2" w:rsidTr="006461B4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B2" w:rsidRDefault="001728B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B2" w:rsidRDefault="001728B2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1728B2" w:rsidTr="006461B4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B2" w:rsidRDefault="001728B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B2" w:rsidRDefault="001728B2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  <w:tr w:rsidR="006E001E" w:rsidTr="006461B4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6461B4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724286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6A3ACF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Инженер</w:t>
            </w:r>
            <w:r w:rsidR="0072428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-</w:t>
            </w:r>
            <w:r w:rsidR="006A3ACF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лаборант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 стандартини тасдиқлашга тавсия қилади.</w:t>
            </w:r>
          </w:p>
        </w:tc>
      </w:tr>
      <w:tr w:rsidR="006E001E" w:rsidTr="006461B4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1C0E8D" w:rsidRPr="00670BEE" w:rsidRDefault="001C0E8D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C0E8D" w:rsidRPr="00670BEE" w:rsidSect="001C0E8D">
      <w:headerReference w:type="even" r:id="rId8"/>
      <w:headerReference w:type="default" r:id="rId9"/>
      <w:footerReference w:type="first" r:id="rId10"/>
      <w:pgSz w:w="16834" w:h="11909" w:orient="landscape"/>
      <w:pgMar w:top="993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AC" w:rsidRDefault="00463BAC">
      <w:r>
        <w:separator/>
      </w:r>
    </w:p>
  </w:endnote>
  <w:endnote w:type="continuationSeparator" w:id="0">
    <w:p w:rsidR="00463BAC" w:rsidRDefault="004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0" w:rsidRDefault="00463BA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" filled="f" stroked="f">
          <v:textbox style="mso-fit-shape-to-text:t" inset="0,0,0,0">
            <w:txbxContent>
              <w:p w:rsidR="00147260" w:rsidRDefault="00147260">
                <w:r>
                  <w:rPr>
                    <w:rStyle w:val="a5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AC" w:rsidRDefault="00463BAC">
      <w:r>
        <w:separator/>
      </w:r>
    </w:p>
  </w:footnote>
  <w:footnote w:type="continuationSeparator" w:id="0">
    <w:p w:rsidR="00463BAC" w:rsidRDefault="0046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0" w:rsidRPr="00987902" w:rsidRDefault="00037C7D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147260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147260"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147260" w:rsidRDefault="001472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0" w:rsidRPr="000A3FC3" w:rsidRDefault="00037C7D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147260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CB2D1A">
      <w:rPr>
        <w:rFonts w:ascii="Times New Roman" w:hAnsi="Times New Roman"/>
        <w:noProof/>
      </w:rPr>
      <w:t>16</w:t>
    </w:r>
    <w:r w:rsidRPr="000A3FC3">
      <w:rPr>
        <w:rFonts w:ascii="Times New Roman" w:hAnsi="Times New Roman"/>
      </w:rPr>
      <w:fldChar w:fldCharType="end"/>
    </w:r>
  </w:p>
  <w:p w:rsidR="00147260" w:rsidRDefault="00147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A31E3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736FE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00373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9650B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B1"/>
    <w:rsid w:val="00001A72"/>
    <w:rsid w:val="00005121"/>
    <w:rsid w:val="0002187B"/>
    <w:rsid w:val="00037C7D"/>
    <w:rsid w:val="00056561"/>
    <w:rsid w:val="000962B9"/>
    <w:rsid w:val="000B52C0"/>
    <w:rsid w:val="000D041F"/>
    <w:rsid w:val="000E3269"/>
    <w:rsid w:val="000F630E"/>
    <w:rsid w:val="00112FC8"/>
    <w:rsid w:val="00120308"/>
    <w:rsid w:val="001470B5"/>
    <w:rsid w:val="00147260"/>
    <w:rsid w:val="001728B2"/>
    <w:rsid w:val="00181903"/>
    <w:rsid w:val="001A54B1"/>
    <w:rsid w:val="001C0E8D"/>
    <w:rsid w:val="001C4CA2"/>
    <w:rsid w:val="001E208D"/>
    <w:rsid w:val="001E7DAE"/>
    <w:rsid w:val="001F23E8"/>
    <w:rsid w:val="00200BDC"/>
    <w:rsid w:val="00203771"/>
    <w:rsid w:val="00204D69"/>
    <w:rsid w:val="00233B20"/>
    <w:rsid w:val="002701F8"/>
    <w:rsid w:val="002C79DF"/>
    <w:rsid w:val="002E0046"/>
    <w:rsid w:val="002E51EB"/>
    <w:rsid w:val="002E5846"/>
    <w:rsid w:val="002E79F0"/>
    <w:rsid w:val="00302237"/>
    <w:rsid w:val="00311BA5"/>
    <w:rsid w:val="00325895"/>
    <w:rsid w:val="00335496"/>
    <w:rsid w:val="0034019C"/>
    <w:rsid w:val="00345577"/>
    <w:rsid w:val="003709E1"/>
    <w:rsid w:val="00380E17"/>
    <w:rsid w:val="00385639"/>
    <w:rsid w:val="00397B47"/>
    <w:rsid w:val="003A7B8D"/>
    <w:rsid w:val="003C5564"/>
    <w:rsid w:val="00401FC2"/>
    <w:rsid w:val="004050EB"/>
    <w:rsid w:val="00417A46"/>
    <w:rsid w:val="00424B0D"/>
    <w:rsid w:val="00424CFB"/>
    <w:rsid w:val="0045221F"/>
    <w:rsid w:val="00463BAC"/>
    <w:rsid w:val="004941DD"/>
    <w:rsid w:val="004963D6"/>
    <w:rsid w:val="004B15ED"/>
    <w:rsid w:val="004D77C2"/>
    <w:rsid w:val="004E0A1D"/>
    <w:rsid w:val="005132B1"/>
    <w:rsid w:val="00544B85"/>
    <w:rsid w:val="00550696"/>
    <w:rsid w:val="00560658"/>
    <w:rsid w:val="005661C9"/>
    <w:rsid w:val="005805B1"/>
    <w:rsid w:val="005A54FE"/>
    <w:rsid w:val="005A7C28"/>
    <w:rsid w:val="005D0F39"/>
    <w:rsid w:val="005D7D33"/>
    <w:rsid w:val="005E232A"/>
    <w:rsid w:val="006461B4"/>
    <w:rsid w:val="006514D9"/>
    <w:rsid w:val="00655016"/>
    <w:rsid w:val="00670BEE"/>
    <w:rsid w:val="006755B8"/>
    <w:rsid w:val="00681021"/>
    <w:rsid w:val="00687635"/>
    <w:rsid w:val="00691B28"/>
    <w:rsid w:val="0069314E"/>
    <w:rsid w:val="006A3ACF"/>
    <w:rsid w:val="006C3EEF"/>
    <w:rsid w:val="006E001E"/>
    <w:rsid w:val="006E3092"/>
    <w:rsid w:val="006E6E69"/>
    <w:rsid w:val="007117E3"/>
    <w:rsid w:val="0071279A"/>
    <w:rsid w:val="00724286"/>
    <w:rsid w:val="00724453"/>
    <w:rsid w:val="007368CF"/>
    <w:rsid w:val="00744075"/>
    <w:rsid w:val="007C25F4"/>
    <w:rsid w:val="007D7D64"/>
    <w:rsid w:val="008009AE"/>
    <w:rsid w:val="00801273"/>
    <w:rsid w:val="008147C2"/>
    <w:rsid w:val="0082791C"/>
    <w:rsid w:val="00856C81"/>
    <w:rsid w:val="00857314"/>
    <w:rsid w:val="00886449"/>
    <w:rsid w:val="0089729F"/>
    <w:rsid w:val="008F3B16"/>
    <w:rsid w:val="00904176"/>
    <w:rsid w:val="00907057"/>
    <w:rsid w:val="00932FC6"/>
    <w:rsid w:val="00965F51"/>
    <w:rsid w:val="009672A6"/>
    <w:rsid w:val="009846FE"/>
    <w:rsid w:val="0099022E"/>
    <w:rsid w:val="009A2F56"/>
    <w:rsid w:val="009C6ABD"/>
    <w:rsid w:val="009E4F61"/>
    <w:rsid w:val="009F013E"/>
    <w:rsid w:val="00A00B09"/>
    <w:rsid w:val="00A1109E"/>
    <w:rsid w:val="00A1151E"/>
    <w:rsid w:val="00A16D7D"/>
    <w:rsid w:val="00A21B7B"/>
    <w:rsid w:val="00A33162"/>
    <w:rsid w:val="00A415B1"/>
    <w:rsid w:val="00A43658"/>
    <w:rsid w:val="00A47293"/>
    <w:rsid w:val="00A5233E"/>
    <w:rsid w:val="00A55A12"/>
    <w:rsid w:val="00A570B4"/>
    <w:rsid w:val="00AC58CD"/>
    <w:rsid w:val="00AD7DD2"/>
    <w:rsid w:val="00AF50FE"/>
    <w:rsid w:val="00AF7491"/>
    <w:rsid w:val="00B02C4B"/>
    <w:rsid w:val="00B05A26"/>
    <w:rsid w:val="00B104F5"/>
    <w:rsid w:val="00B25AD2"/>
    <w:rsid w:val="00B41453"/>
    <w:rsid w:val="00B61AE8"/>
    <w:rsid w:val="00B94B31"/>
    <w:rsid w:val="00BA5EA1"/>
    <w:rsid w:val="00BC0ADD"/>
    <w:rsid w:val="00C214F5"/>
    <w:rsid w:val="00C23AD1"/>
    <w:rsid w:val="00C25B80"/>
    <w:rsid w:val="00C57297"/>
    <w:rsid w:val="00C8744A"/>
    <w:rsid w:val="00C94B8E"/>
    <w:rsid w:val="00CB2D1A"/>
    <w:rsid w:val="00CD21D1"/>
    <w:rsid w:val="00CE0107"/>
    <w:rsid w:val="00CE2BC9"/>
    <w:rsid w:val="00D02975"/>
    <w:rsid w:val="00D22B6A"/>
    <w:rsid w:val="00D27197"/>
    <w:rsid w:val="00D421C3"/>
    <w:rsid w:val="00DB63B7"/>
    <w:rsid w:val="00E00E6C"/>
    <w:rsid w:val="00E00FF4"/>
    <w:rsid w:val="00E20E70"/>
    <w:rsid w:val="00E22F60"/>
    <w:rsid w:val="00E305B3"/>
    <w:rsid w:val="00E373DA"/>
    <w:rsid w:val="00E5267A"/>
    <w:rsid w:val="00E642DC"/>
    <w:rsid w:val="00E72796"/>
    <w:rsid w:val="00E9405D"/>
    <w:rsid w:val="00EA174B"/>
    <w:rsid w:val="00EA4DCE"/>
    <w:rsid w:val="00F00CBA"/>
    <w:rsid w:val="00F2483F"/>
    <w:rsid w:val="00F34A6E"/>
    <w:rsid w:val="00F577F1"/>
    <w:rsid w:val="00F61388"/>
    <w:rsid w:val="00F71C74"/>
    <w:rsid w:val="00F748F5"/>
    <w:rsid w:val="00F81125"/>
    <w:rsid w:val="00F9256C"/>
    <w:rsid w:val="00FE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86</cp:revision>
  <dcterms:created xsi:type="dcterms:W3CDTF">2020-03-29T12:05:00Z</dcterms:created>
  <dcterms:modified xsi:type="dcterms:W3CDTF">2020-05-20T07:31:00Z</dcterms:modified>
</cp:coreProperties>
</file>